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3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2025 году в Челябинской области </w:t>
      </w:r>
      <w:r>
        <w:rPr>
          <w:b/>
          <w:sz w:val="28"/>
          <w:szCs w:val="28"/>
        </w:rPr>
        <w:t xml:space="preserve">в ходе </w:t>
      </w:r>
      <w:r>
        <w:rPr>
          <w:b/>
          <w:sz w:val="28"/>
          <w:szCs w:val="28"/>
        </w:rPr>
        <w:t xml:space="preserve">ККР</w:t>
      </w:r>
      <w:r>
        <w:rPr>
          <w:b/>
          <w:sz w:val="28"/>
          <w:szCs w:val="28"/>
        </w:rPr>
        <w:t xml:space="preserve"> планируется </w:t>
      </w:r>
      <w:r>
        <w:rPr>
          <w:b/>
          <w:sz w:val="28"/>
          <w:szCs w:val="28"/>
        </w:rPr>
        <w:t xml:space="preserve">уточнить </w:t>
      </w:r>
      <w:r>
        <w:rPr>
          <w:b/>
          <w:sz w:val="28"/>
          <w:szCs w:val="28"/>
        </w:rPr>
        <w:t xml:space="preserve">границы </w:t>
      </w:r>
      <w:r>
        <w:rPr>
          <w:b/>
          <w:sz w:val="28"/>
          <w:szCs w:val="28"/>
        </w:rPr>
        <w:t xml:space="preserve">более 36 тыс. объектов недвижимости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сообщает о ходе проведения </w:t>
      </w:r>
      <w:r>
        <w:rPr>
          <w:b/>
          <w:sz w:val="28"/>
          <w:szCs w:val="28"/>
        </w:rPr>
        <w:t xml:space="preserve">комплексных кадастровых работ, которые на протяжении уже </w:t>
      </w:r>
      <w:r>
        <w:rPr>
          <w:b/>
          <w:sz w:val="28"/>
          <w:szCs w:val="28"/>
        </w:rPr>
        <w:t xml:space="preserve">нескольк</w:t>
      </w:r>
      <w:r>
        <w:rPr>
          <w:b/>
          <w:sz w:val="28"/>
          <w:szCs w:val="28"/>
        </w:rPr>
        <w:t xml:space="preserve">их</w:t>
      </w:r>
      <w:r>
        <w:rPr>
          <w:b/>
          <w:sz w:val="28"/>
          <w:szCs w:val="28"/>
        </w:rPr>
        <w:t xml:space="preserve"> лет </w:t>
      </w:r>
      <w:r>
        <w:rPr>
          <w:b/>
          <w:sz w:val="28"/>
          <w:szCs w:val="28"/>
        </w:rPr>
        <w:t xml:space="preserve">проводятся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реги</w:t>
      </w:r>
      <w:r>
        <w:rPr>
          <w:b/>
          <w:sz w:val="28"/>
          <w:szCs w:val="28"/>
        </w:rPr>
        <w:t xml:space="preserve">она</w:t>
      </w:r>
      <w:r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являются одной из составных частей государственной программы «Национальная система пространственных данных».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2025 году </w:t>
      </w:r>
      <w:r>
        <w:rPr>
          <w:sz w:val="28"/>
          <w:szCs w:val="28"/>
        </w:rPr>
        <w:t xml:space="preserve">комплексные кадастровые работы (</w:t>
      </w:r>
      <w:r>
        <w:rPr>
          <w:sz w:val="28"/>
          <w:szCs w:val="28"/>
        </w:rPr>
        <w:t xml:space="preserve">ККР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хватят </w:t>
      </w:r>
      <w:r>
        <w:rPr>
          <w:sz w:val="28"/>
          <w:szCs w:val="28"/>
        </w:rPr>
        <w:t xml:space="preserve">186</w:t>
      </w:r>
      <w:r>
        <w:rPr>
          <w:sz w:val="28"/>
          <w:szCs w:val="28"/>
        </w:rPr>
        <w:t xml:space="preserve"> кадастровых кварталов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муниципальных образованиях Челябинской области</w:t>
      </w:r>
      <w:r>
        <w:rPr>
          <w:sz w:val="28"/>
          <w:szCs w:val="28"/>
        </w:rPr>
        <w:t xml:space="preserve">. Работы затронут </w:t>
      </w:r>
      <w:r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объект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недвижимости.</w:t>
      </w:r>
      <w:r>
        <w:rPr>
          <w:sz w:val="28"/>
          <w:szCs w:val="28"/>
        </w:rPr>
        <w:t xml:space="preserve"> В результате проведения ККР в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диный государственный реестр недвижимости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внесены </w:t>
      </w:r>
      <w:r>
        <w:rPr>
          <w:sz w:val="28"/>
          <w:szCs w:val="28"/>
        </w:rPr>
        <w:t xml:space="preserve">сведения о местоположении границ земельных участков, зданий, сооружений, объектов незавершённого строительства. Всё это </w:t>
      </w:r>
      <w:r>
        <w:rPr>
          <w:sz w:val="28"/>
          <w:szCs w:val="28"/>
        </w:rPr>
        <w:t xml:space="preserve">призвано </w:t>
      </w:r>
      <w:r>
        <w:rPr>
          <w:sz w:val="28"/>
          <w:szCs w:val="28"/>
        </w:rPr>
        <w:t xml:space="preserve">повы</w:t>
      </w:r>
      <w:r>
        <w:rPr>
          <w:sz w:val="28"/>
          <w:szCs w:val="28"/>
        </w:rPr>
        <w:t xml:space="preserve">сить </w:t>
      </w:r>
      <w:r>
        <w:rPr>
          <w:sz w:val="28"/>
          <w:szCs w:val="28"/>
        </w:rPr>
        <w:t xml:space="preserve">уровень юридической защиты прав и интересов правообладателей, исключ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реестровые</w:t>
      </w:r>
      <w:r>
        <w:rPr>
          <w:sz w:val="28"/>
          <w:szCs w:val="28"/>
        </w:rPr>
        <w:t xml:space="preserve"> ошибки, допущенные при определении границ, и, как следствие, сни</w:t>
      </w:r>
      <w:r>
        <w:rPr>
          <w:sz w:val="28"/>
          <w:szCs w:val="28"/>
        </w:rPr>
        <w:t xml:space="preserve">зить</w:t>
      </w:r>
      <w:r>
        <w:rPr>
          <w:sz w:val="28"/>
          <w:szCs w:val="28"/>
        </w:rPr>
        <w:t xml:space="preserve"> количество земельных споров.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>
        <w:rPr>
          <w:sz w:val="28"/>
          <w:szCs w:val="28"/>
        </w:rPr>
        <w:t xml:space="preserve">статистики </w:t>
      </w:r>
      <w:r>
        <w:rPr>
          <w:sz w:val="28"/>
          <w:szCs w:val="28"/>
        </w:rPr>
        <w:t xml:space="preserve">проведения ККР в регионе </w:t>
      </w:r>
      <w:r>
        <w:rPr>
          <w:sz w:val="28"/>
          <w:szCs w:val="28"/>
        </w:rPr>
        <w:t xml:space="preserve">за предыдущие го</w:t>
      </w:r>
      <w:r>
        <w:rPr>
          <w:sz w:val="28"/>
          <w:szCs w:val="28"/>
        </w:rPr>
        <w:t xml:space="preserve">ды, то можно отметить, что в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году уточнены границы в отношении более 24,3 тыс. объектов. </w:t>
      </w:r>
      <w:r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в 2023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48,2 тыс., а в 2024 году –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тыс. объектов.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в</w:t>
      </w:r>
      <w:r>
        <w:rPr>
          <w:sz w:val="28"/>
          <w:szCs w:val="28"/>
        </w:rPr>
        <w:t xml:space="preserve"> отличие от обычных кадастровых работ, ККР проводятся в отношении не одного земельного участка, а одновременно всех участков, расположенных на территории кадастрового квартала или нескольких. Это могут быть садовые или огородные товарищества, гаражные кооперативы, коттеджные поселки, территории товарищества собственников недвижимости.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таких работ осуществляется за сч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 государственных средств, что освобождает граждан от расходов на межевание и услуги кадастровых инженеров.</w:t>
      </w: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uiPriority w:val="34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1553</Characters>
  <CharactersWithSpaces>1822</CharactersWithSpaces>
  <DocSecurity>0</DocSecurity>
  <HyperlinksChanged>false</HyperlinksChanged>
  <Lines>12</Lines>
  <Pages>1</Pages>
  <Paragraphs>3</Paragraphs>
  <ScaleCrop>false</ScaleCrop>
  <SharedDoc>false</SharedDoc>
  <Template>Normal</Template>
  <Words>272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91</cp:revision>
  <dcterms:created xsi:type="dcterms:W3CDTF">2024-08-16T10:03:00Z</dcterms:created>
  <dcterms:modified xsi:type="dcterms:W3CDTF">2025-01-31T07:36:00Z</dcterms:modified>
  <cp:version>983040</cp:version>
</cp:coreProperties>
</file>